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D" w:rsidRPr="00BC562D" w:rsidRDefault="00BC562D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bCs/>
          <w:sz w:val="18"/>
          <w:szCs w:val="18"/>
        </w:rPr>
      </w:pPr>
      <w:r w:rsidRPr="00BC562D"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BC562D" w:rsidRDefault="006D485F" w:rsidP="00906EEB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b/>
          <w:bCs/>
          <w:sz w:val="18"/>
          <w:szCs w:val="18"/>
        </w:rPr>
        <w:t xml:space="preserve">EDITAL DE RETIFICAÇÃO DO PROCESSO N. º </w:t>
      </w:r>
      <w:r w:rsidR="001539E3">
        <w:rPr>
          <w:rFonts w:ascii="Verdana" w:hAnsi="Verdana" w:cs="Arial"/>
          <w:b/>
          <w:bCs/>
          <w:sz w:val="18"/>
          <w:szCs w:val="18"/>
        </w:rPr>
        <w:t>102/2018</w:t>
      </w:r>
      <w:r w:rsidRPr="00BC562D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932616" w:rsidRPr="00BC562D">
        <w:rPr>
          <w:rFonts w:ascii="Verdana" w:hAnsi="Verdana" w:cs="Arial"/>
          <w:b/>
          <w:bCs/>
          <w:sz w:val="18"/>
          <w:szCs w:val="18"/>
        </w:rPr>
        <w:t>ELETRÔNICO</w:t>
      </w:r>
      <w:r w:rsidRPr="00BC562D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1539E3">
        <w:rPr>
          <w:rFonts w:ascii="Verdana" w:hAnsi="Verdana" w:cs="Arial"/>
          <w:b/>
          <w:bCs/>
          <w:sz w:val="18"/>
          <w:szCs w:val="18"/>
        </w:rPr>
        <w:t>035/2018</w:t>
      </w:r>
      <w:r w:rsidRPr="00BC562D">
        <w:rPr>
          <w:rFonts w:ascii="Verdana" w:hAnsi="Verdana" w:cs="Arial"/>
          <w:b/>
          <w:bCs/>
          <w:sz w:val="18"/>
          <w:szCs w:val="18"/>
        </w:rPr>
        <w:t>–</w:t>
      </w:r>
      <w:r w:rsidR="00C83E95" w:rsidRPr="00BC562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06EEB" w:rsidRPr="00906EEB">
        <w:rPr>
          <w:rFonts w:ascii="Verdana" w:hAnsi="Verdana"/>
          <w:b/>
          <w:bCs/>
        </w:rPr>
        <w:t>FORMAÇÃO DE REGISTRO DE PREÇOS PARA AQUISIÇÃO PARCELADA DE ALIMENTO PARA NUTRIÇÃO ENTERAL E SUPLEMENTO NUTRICIONAL, CONFORME AS ESPECIFICAÇÕES TÉCNICAS E QUANTITATIVOS CONSTANTES NO ANEXO I, TERMO DE REFERÊNCIA.</w:t>
      </w:r>
      <w:r w:rsidR="00906EEB">
        <w:rPr>
          <w:rFonts w:ascii="Verdana" w:hAnsi="Verdana"/>
          <w:b/>
          <w:bCs/>
        </w:rPr>
        <w:t xml:space="preserve"> </w:t>
      </w:r>
      <w:r w:rsidR="000E240E" w:rsidRPr="00BC562D">
        <w:rPr>
          <w:rFonts w:ascii="Verdana" w:hAnsi="Verdana" w:cs="Arial"/>
          <w:sz w:val="18"/>
          <w:szCs w:val="18"/>
        </w:rPr>
        <w:t>O Consórcio</w:t>
      </w:r>
      <w:r w:rsidR="0010710D" w:rsidRPr="00BC562D">
        <w:rPr>
          <w:rFonts w:ascii="Verdana" w:hAnsi="Verdana" w:cs="Arial"/>
          <w:sz w:val="18"/>
          <w:szCs w:val="18"/>
        </w:rPr>
        <w:t xml:space="preserve"> </w:t>
      </w:r>
      <w:r w:rsidRPr="00BC562D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BC562D">
        <w:rPr>
          <w:rFonts w:ascii="Verdana" w:hAnsi="Verdana" w:cs="Arial"/>
          <w:sz w:val="18"/>
          <w:szCs w:val="18"/>
        </w:rPr>
        <w:t>público</w:t>
      </w:r>
      <w:r w:rsidRPr="00BC562D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BC562D">
        <w:rPr>
          <w:rFonts w:ascii="Verdana" w:hAnsi="Verdana" w:cs="Arial"/>
          <w:sz w:val="18"/>
          <w:szCs w:val="18"/>
        </w:rPr>
        <w:t>do edital</w:t>
      </w:r>
      <w:r w:rsidRPr="00BC562D">
        <w:rPr>
          <w:rFonts w:ascii="Verdana" w:hAnsi="Verdana" w:cs="Arial"/>
          <w:sz w:val="18"/>
          <w:szCs w:val="18"/>
        </w:rPr>
        <w:t xml:space="preserve">, em razão </w:t>
      </w:r>
      <w:r w:rsidR="00906EEB">
        <w:rPr>
          <w:rFonts w:ascii="Verdana" w:hAnsi="Verdana" w:cs="Arial"/>
          <w:sz w:val="18"/>
          <w:szCs w:val="18"/>
        </w:rPr>
        <w:t xml:space="preserve">do </w:t>
      </w:r>
      <w:r w:rsidR="00160D20">
        <w:rPr>
          <w:rFonts w:ascii="Verdana" w:hAnsi="Verdana" w:cs="Arial"/>
          <w:sz w:val="18"/>
          <w:szCs w:val="18"/>
        </w:rPr>
        <w:t xml:space="preserve">benefício </w:t>
      </w:r>
      <w:r w:rsidR="00906EEB">
        <w:rPr>
          <w:rFonts w:ascii="Verdana" w:hAnsi="Verdana" w:cs="Arial"/>
          <w:sz w:val="18"/>
          <w:szCs w:val="18"/>
        </w:rPr>
        <w:t xml:space="preserve">TIPO III </w:t>
      </w:r>
      <w:r w:rsidR="00160D20">
        <w:rPr>
          <w:rFonts w:ascii="Verdana" w:hAnsi="Verdana" w:cs="Arial"/>
          <w:sz w:val="18"/>
          <w:szCs w:val="18"/>
        </w:rPr>
        <w:t>“Reserva de cota exclusiva para ME/EPP” não</w:t>
      </w:r>
      <w:r w:rsidR="00906EEB">
        <w:rPr>
          <w:rFonts w:ascii="Verdana" w:hAnsi="Verdana" w:cs="Arial"/>
          <w:sz w:val="18"/>
          <w:szCs w:val="18"/>
        </w:rPr>
        <w:t xml:space="preserve"> estar habilitado no site COMPRASNET</w:t>
      </w:r>
      <w:r w:rsidR="00932616" w:rsidRPr="00BC562D">
        <w:rPr>
          <w:rFonts w:ascii="Verdana" w:hAnsi="Verdana" w:cs="Arial"/>
          <w:sz w:val="18"/>
          <w:szCs w:val="18"/>
        </w:rPr>
        <w:t xml:space="preserve">, </w:t>
      </w:r>
      <w:r w:rsidR="00906EEB">
        <w:rPr>
          <w:rFonts w:ascii="Verdana" w:hAnsi="Verdana" w:cs="Arial"/>
          <w:sz w:val="18"/>
          <w:szCs w:val="18"/>
        </w:rPr>
        <w:t xml:space="preserve">não aceitando valores </w:t>
      </w:r>
      <w:r w:rsidR="00160D20">
        <w:rPr>
          <w:rFonts w:ascii="Verdana" w:hAnsi="Verdana" w:cs="Arial"/>
          <w:sz w:val="18"/>
          <w:szCs w:val="18"/>
        </w:rPr>
        <w:t>acima de R$ 80,000</w:t>
      </w:r>
      <w:r w:rsidR="00435D75">
        <w:rPr>
          <w:rFonts w:ascii="Verdana" w:hAnsi="Verdana" w:cs="Arial"/>
          <w:sz w:val="18"/>
          <w:szCs w:val="18"/>
        </w:rPr>
        <w:t>,00 (oitenta mil reais)</w:t>
      </w:r>
      <w:r w:rsidR="00906EEB">
        <w:rPr>
          <w:rFonts w:ascii="Verdana" w:hAnsi="Verdana" w:cs="Arial"/>
          <w:sz w:val="18"/>
          <w:szCs w:val="18"/>
        </w:rPr>
        <w:t xml:space="preserve">, </w:t>
      </w:r>
      <w:r w:rsidR="00932616" w:rsidRPr="00BC562D">
        <w:rPr>
          <w:rFonts w:ascii="Verdana" w:hAnsi="Verdana" w:cs="Arial"/>
          <w:sz w:val="18"/>
          <w:szCs w:val="18"/>
        </w:rPr>
        <w:t>conforme segue:</w:t>
      </w:r>
    </w:p>
    <w:p w:rsidR="00B45DA4" w:rsidRDefault="00B45DA4" w:rsidP="00B45DA4">
      <w:pPr>
        <w:spacing w:after="120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0F693C" w:rsidRPr="00BC562D" w:rsidRDefault="00761A72" w:rsidP="00932616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C562D">
        <w:rPr>
          <w:rFonts w:ascii="Verdana" w:hAnsi="Verdana" w:cs="Arial"/>
          <w:b/>
          <w:i/>
          <w:sz w:val="18"/>
          <w:szCs w:val="18"/>
          <w:u w:val="single"/>
        </w:rPr>
        <w:t>ONDE SE LÊ: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3119"/>
        <w:gridCol w:w="850"/>
        <w:gridCol w:w="1134"/>
        <w:gridCol w:w="851"/>
        <w:gridCol w:w="1203"/>
      </w:tblGrid>
      <w:tr w:rsidR="00304508" w:rsidTr="00304508">
        <w:trPr>
          <w:trHeight w:val="657"/>
        </w:trPr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ITENS COM COTA DE 25% - DESTINADOS A PARTICIPAÇÃO EXCLUSIVA DE MICRO EMPRESAS, EMPRESAS DE PEQUENO PORTE E MICRO EMPREENDEDORES INDIVIDUAIS</w:t>
            </w:r>
          </w:p>
        </w:tc>
      </w:tr>
      <w:tr w:rsidR="00304508" w:rsidTr="00304508">
        <w:trPr>
          <w:cantSplit/>
          <w:trHeight w:val="1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APRESENTAÇÃO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QUANTIDADE (12 MESES)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TOTAL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Alimentação de lactentes e crianças que apresentem alergia à proteína do leite de vaca e / ou soja, distúrbios absortivos ou outras condições clínicas que requerem uma terapia nutricional com dieta ou fórmula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semi-elementar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hipoalergênica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Isento de lactose, sacarose e glúten.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0,476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190.400,00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 com baixo teor de sódio sem sacarose, isento de glúten. Indicado para pacientes com risco nutricional, desnutrição,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anorexia.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0,639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191.700,00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oral, isento de glúten. Indicado para pacientes com risco nutricional, desnutrição,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anorexia.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42.900,00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enteral, com densidade calórica de 1,2 calorias por mililitro.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Com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42.000,00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Fonte de fibras, 60% de fibra alimentar solúvel, 40% fibra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insolúvel. Com ou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40.200,00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dieta enteral, líquido,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completo, polimérico, hipercalórico (1,5kcal/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). Com no mínimo 30 % proteína do leite. Com fibras solúveis e insolúveis. Sem sacarose e glúten, com adição de vitaminas e minerais.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625.000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58.125,00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hiperproteico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Desenvolvido pensando nas necessidades do paciente idoso. Sem Sabor ideal para receitas doces e salgadas. Não contém Glúten.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375.000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77.250,00</w:t>
            </w:r>
          </w:p>
        </w:tc>
      </w:tr>
      <w:tr w:rsidR="00304508" w:rsidTr="00304508">
        <w:trPr>
          <w:trHeight w:val="1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em pó, especializada para Doença Inflamatória Intestinal, principalmente Doença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Crohn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normoprotéica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Isento de lactose e glúten. Indicação via oral ou via sonda enteral.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0,986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29.580,00</w:t>
            </w:r>
          </w:p>
        </w:tc>
      </w:tr>
      <w:tr w:rsidR="00304508" w:rsidTr="00304508">
        <w:trPr>
          <w:trHeight w:val="19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liquida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normolipidica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 100% proteína de soja. Criada especialmente para atender às necessidades nutricionais na manutenção e recuperação do estado nutricional de pacientes. Isento de lactose e glúten. Com ou sem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sabor.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1.250.000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41.250,00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Alimento/Nutrição em pó, especializada, enteral/oral,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atender pacientes com necessidade de controle glicêmico. Não contém glúten e lactose. Com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51.000,00</w:t>
            </w:r>
          </w:p>
        </w:tc>
      </w:tr>
      <w:tr w:rsidR="00304508" w:rsidTr="00304508">
        <w:trPr>
          <w:trHeight w:val="20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elementar à base de 100% de aminoácidos livres,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completa. Isenta de lactose e glúten, com teores de nutrientes atendendo aos valores mínimos e máximos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Codex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Alimentarius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FAO/OMS para vitaminas e minerais, indicada para: Alergia a proteína do leite de vaca, a soja, a múltiplos alimentos e a hidrolisados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protéicos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26.800,00</w:t>
            </w:r>
          </w:p>
        </w:tc>
      </w:tr>
      <w:tr w:rsidR="00304508" w:rsidTr="00304508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de partida para lactentes de 0 a 6 meses. 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Lc-PufasDHA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  ARA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nu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leotideios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fibras.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47.500,00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Fórmula Infantil para lactentes de 0 a 6 meses, com proteínas modificadas em sua relação proteína do soro do leite/caseína sem sacarose. Enriquecida com ferro e vitaminas.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23.400,00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à base de 100% proteína isolada de soja. Enriquecida com ferro, cálcio, vitaminas, L-metionina.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61.800,00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com proteínas modificadas em sua relação caseína/proteína do soro do leite sem sacarose. Enriquecida com ferro e vitaminas.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28.200,00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Prematuros e/ou Recém-Nascidos de baixo peso, com proteínas modificadas em sua relação caseína/proteína do soro do leite.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ARA, ferro e vitaminas.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0,306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91.800,00</w:t>
            </w:r>
          </w:p>
        </w:tc>
      </w:tr>
      <w:tr w:rsidR="00304508" w:rsidTr="00304508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a base de peptídeos 100% proteína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hidrosilada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terapia Nutricional precoce em pacientes de 1 a 10 anos de idade em desmane de nutrição parenteral, com retardo de esvaziamento gástrico e risco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broncoaspiração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Com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29.750,00</w:t>
            </w:r>
          </w:p>
        </w:tc>
      </w:tr>
      <w:tr w:rsidR="00304508" w:rsidTr="00304508">
        <w:trPr>
          <w:trHeight w:val="6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Alimento/Fórmula em pó para uso enteral/oral,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Criada especialmente para atender às necessidades nutricionais na manutenção e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 xml:space="preserve">recuperação do estado nutricional.  Sabor Baunilha. Isento de lactose e glúten.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112.500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20.812,50</w:t>
            </w:r>
          </w:p>
        </w:tc>
      </w:tr>
      <w:tr w:rsidR="00304508" w:rsidTr="00304508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4508" w:rsidRDefault="00304508"/>
        </w:tc>
      </w:tr>
      <w:tr w:rsidR="00304508" w:rsidTr="00304508">
        <w:trPr>
          <w:trHeight w:val="615"/>
        </w:trPr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ITENS COM COTA DE 75% - DESTINADOS A AMPLA PARTICIPAÇÃO, INCLUSIVE MICRO EMPRESAS, EMPRESAS DE PEQUENO PORTE E MICRO EMPREENDEDORES INDIVIDUAIS</w:t>
            </w:r>
          </w:p>
        </w:tc>
      </w:tr>
      <w:tr w:rsidR="00304508" w:rsidTr="00304508">
        <w:trPr>
          <w:cantSplit/>
          <w:trHeight w:val="1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APRESENTAÇÃO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QUANTIDADE (12 MESES)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TOTAL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Alimentação de lactantes e crianças que apresentem alergia à proteína do leite de vaca e / ou soja, distúrbios absortivos ou outras condições clínicas que requerem uma terapia nutricional com dieta ou fórmula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semi-elementar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hipoalergênica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Isento de lactose, sacarose e glúten.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1.200.000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0,476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571.200,00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 com baixo teor de sódio sem sacarose, isento de glúten. Indicado para pacientes com risco nutricional, desnutrição, anorexia.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0,639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575.100,00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oral, isento de glúten. Indicado para pacientes com risco nutricional, desnutrição,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anorexia.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128.700,00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enteral, com densidade calórica de 1,2 calorias por mililitro.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Com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3.000.000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126.000,00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Fonte de fibras, 60% de fibra alimentar solúvel, 40% fibra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insolúvel. Com ou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120.600,00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dieta enteral, líquido,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completo, polimérico, hipercalórico (1,5kcal/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). Com no mínimo 30 % proteína do leite. Com fibras solúveis e insolúveis. Sem sacarose e glúten, com adição de vitaminas e minerais.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1.875.000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174.375,00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hiperproteico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Desenvolvido pensando nas necessidades do paciente idoso. Sem Sabor ideal para receitas doces e salgadas. Não contem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gluten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1.125.000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231.750,00</w:t>
            </w:r>
          </w:p>
        </w:tc>
      </w:tr>
      <w:tr w:rsidR="00304508" w:rsidTr="00304508">
        <w:trPr>
          <w:trHeight w:val="1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em pó, especializada para Doença Inflamatória Intestinal, principalmente Doença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Crohn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normoprotéica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Isento de lactose e glúten. Indicação via oral ou via sonda enteral. Sem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0,986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88.740,00</w:t>
            </w:r>
          </w:p>
        </w:tc>
      </w:tr>
      <w:tr w:rsidR="00304508" w:rsidTr="00304508">
        <w:trPr>
          <w:trHeight w:val="19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liquida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normolipidica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 100% proteína de soja. Criada especialmente para atender às necessidades nutricionais na manutenção e recuperação do estado nutricional de pacientes. Isento de lactose e glúten. Com ou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3.750.000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123.750,00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Alimento/Nutrição em pó, especializada, enteral/oral,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atender pacientes com necessidade de controle glicêmico. Não contém glúten e lactose. Com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153.000,00</w:t>
            </w:r>
          </w:p>
        </w:tc>
      </w:tr>
      <w:tr w:rsidR="00304508" w:rsidTr="00304508">
        <w:trPr>
          <w:trHeight w:val="20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elementar à base de 100% de aminoácidos livres,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completa. Isenta de lactose e glúten, com teores de nutrientes atendendo aos valores mínimos e máximos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Codex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Alimentarius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FAO/OMS para vitaminas e minerais, indicada para: Alergia a proteína do leite de vaca, a soja, a múltiplos alimentos e a hidrolisados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protéicos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80.400,00</w:t>
            </w:r>
          </w:p>
        </w:tc>
      </w:tr>
      <w:tr w:rsidR="00304508" w:rsidTr="00304508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de partida para lactentes de 0 a 6 meses. 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Lc-PufasDHA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  ARA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nu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leotideios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fibras.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142.500,00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Fórmula Infantil para lactentes de 0 a 6 meses, com proteínas modificadas em sua relação proteína do soro do leite/caseína sem sacarose. Enriquecida com ferro e vitaminas.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70.200,00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à base de 100% proteína isolada de soja. Enriquecida com ferro, cálcio, vitaminas, L-metionina.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185.400,00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com proteínas modificadas em sua relação caseína/proteína do soro do leite sem sacarose. Enriquecida com ferro e vitaminas.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84.600,00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Prematuros e/ou Recém-Nascidos de baixo peso, com proteínas modificadas em sua relação caseína/proteína do soro do leite.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ARA, ferro e vitaminas.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900.000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0,306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275.400,00</w:t>
            </w:r>
          </w:p>
        </w:tc>
      </w:tr>
      <w:tr w:rsidR="00304508" w:rsidTr="00304508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a base de peptídeos 100% proteína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hidrosilada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terapia Nutricional precoce em pacientes de 1 a 10 anos de idade em desmane de nutrição parenteral, com retardo de esvaziamento gástrico e risco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broncoaspiração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Com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89.250,00</w:t>
            </w:r>
          </w:p>
        </w:tc>
      </w:tr>
      <w:tr w:rsidR="00304508" w:rsidTr="00304508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Alimento/Fórmula em pó para uso enteral/oral,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Criada especialmente para atender às necessidades nutricionais na manutenção e recuperação do estado nutricional.  Sabor Baunilha. Isento de lactose e glúten.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337.500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62.437,50</w:t>
            </w:r>
          </w:p>
        </w:tc>
      </w:tr>
    </w:tbl>
    <w:p w:rsidR="0097635E" w:rsidRDefault="0097635E" w:rsidP="00217CC5">
      <w:pPr>
        <w:pStyle w:val="Corpodetexto"/>
        <w:ind w:left="-142" w:right="-851" w:firstLine="142"/>
        <w:rPr>
          <w:rFonts w:ascii="Verdana" w:hAnsi="Verdana" w:cs="Arial"/>
          <w:b/>
          <w:sz w:val="20"/>
        </w:rPr>
      </w:pPr>
    </w:p>
    <w:p w:rsidR="0097635E" w:rsidRDefault="0097635E" w:rsidP="0097635E">
      <w:pPr>
        <w:pStyle w:val="Corpodetexto"/>
        <w:ind w:left="-142" w:right="-851"/>
        <w:rPr>
          <w:rFonts w:ascii="Verdana" w:hAnsi="Verdana" w:cs="Arial"/>
          <w:b/>
          <w:sz w:val="20"/>
        </w:rPr>
      </w:pPr>
    </w:p>
    <w:p w:rsidR="00304508" w:rsidRDefault="00304508" w:rsidP="000F693C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71AA2" w:rsidRDefault="00571AA2" w:rsidP="000F693C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571AA2" w:rsidRDefault="00571AA2" w:rsidP="000F693C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304508" w:rsidRDefault="00304508" w:rsidP="000F693C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</w:p>
    <w:p w:rsidR="000F693C" w:rsidRDefault="00761A72" w:rsidP="000F693C">
      <w:pPr>
        <w:spacing w:after="120" w:line="360" w:lineRule="auto"/>
        <w:jc w:val="both"/>
        <w:rPr>
          <w:rFonts w:ascii="Verdana" w:hAnsi="Verdana" w:cs="Arial"/>
          <w:b/>
          <w:i/>
          <w:sz w:val="18"/>
          <w:szCs w:val="18"/>
          <w:u w:val="single"/>
        </w:rPr>
      </w:pPr>
      <w:r w:rsidRPr="00BC562D">
        <w:rPr>
          <w:rFonts w:ascii="Verdana" w:hAnsi="Verdana" w:cs="Arial"/>
          <w:b/>
          <w:i/>
          <w:sz w:val="18"/>
          <w:szCs w:val="18"/>
          <w:u w:val="single"/>
        </w:rPr>
        <w:lastRenderedPageBreak/>
        <w:t>LEIA – SE: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134"/>
        <w:gridCol w:w="3119"/>
        <w:gridCol w:w="850"/>
        <w:gridCol w:w="1134"/>
        <w:gridCol w:w="851"/>
        <w:gridCol w:w="1203"/>
      </w:tblGrid>
      <w:tr w:rsidR="00304508" w:rsidTr="00304508">
        <w:trPr>
          <w:trHeight w:val="657"/>
        </w:trPr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 w:rsidP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ITENS COM COTA DE 10% - DESTINADOS A PARTICIPAÇÃO EXCLUSIVA DE MICRO EMPRESAS, EMPRESAS DE PEQUENO PORTE E MICRO EMPREENDEDORES INDIVIDUAIS</w:t>
            </w:r>
          </w:p>
        </w:tc>
      </w:tr>
      <w:tr w:rsidR="00304508" w:rsidTr="00304508">
        <w:trPr>
          <w:cantSplit/>
          <w:trHeight w:val="1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APRESENTAÇÃO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QUANTIDADE (12 MESES)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TOTAL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Alimentação de lactentes e crianças que apresentem alergia à proteína do leite de vaca e / ou soja, distúrbios absortivos ou outras condições clínicas que requerem uma terapia nutricional com dieta ou fórmula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semi-elementar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hipoalergênica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Isento de lactose, sacarose e glúten.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160.000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0,476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76.160,00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 com baixo teor de sódio sem sacarose, isento de glúten. Indicado para pacientes com risco nutricional, desnutrição,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anorexia.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0,639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76.680,00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oral, isento de glúten. Indicado para pacientes com risco nutricional, desnutrição,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anorexia.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17.160,00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enteral, com densidade calórica de 1,2 calorias por mililitro.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Com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16.800,00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Fonte de fibras, 60% de fibra alimentar solúvel, 40% fibra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insolúvel. Com ou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16.080,00</w:t>
            </w:r>
          </w:p>
        </w:tc>
      </w:tr>
      <w:tr w:rsidR="00304508" w:rsidTr="00304508">
        <w:trPr>
          <w:trHeight w:val="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dieta enteral, líquido,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completo, polimérico, hipercalórico (1,5kcal/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). Com no mínimo 30 % proteína do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 xml:space="preserve">leite. Com fibras solúveis e insolúveis. Sem sacarose e glúten, com adição de vitaminas e minerais.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23.250,00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hiperproteico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Desenvolvido pensando nas necessidades do paciente idoso. Sem Sabor ideal para receitas doces e salgadas. Não contém Glúten.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30.900,00</w:t>
            </w:r>
          </w:p>
        </w:tc>
      </w:tr>
      <w:tr w:rsidR="00304508" w:rsidTr="00304508">
        <w:trPr>
          <w:trHeight w:val="1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em pó, especializada para Doença Inflamatória Intestinal, principalmente Doença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Crohn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normoprotéica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Isento de lactose e glúten. Indicação via oral ou via sonda enteral.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0,986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11.832,00</w:t>
            </w:r>
          </w:p>
        </w:tc>
      </w:tr>
      <w:tr w:rsidR="00304508" w:rsidTr="00304508">
        <w:trPr>
          <w:trHeight w:val="19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liquida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normolipidica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 100% proteína de soja. Criada especialmente para atender às necessidades nutricionais na manutenção e recuperação do estado nutricional de pacientes. Isento de lactose e glúten. Com ou sem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sabor.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16.500,00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Alimento/Nutrição em pó, especializada, enteral/oral,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atender pacientes com necessidade de controle glicêmico. Não contém glúten e lactose. Com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20.400,00</w:t>
            </w:r>
          </w:p>
        </w:tc>
      </w:tr>
      <w:tr w:rsidR="00304508" w:rsidTr="00304508">
        <w:trPr>
          <w:trHeight w:val="20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elementar à base de 100% de aminoácidos livres,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completa. Isenta de lactose e glúten, com teores de nutrientes atendendo aos valores mínimos e máximos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Codex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Alimentarius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FAO/OMS para vitaminas e minerais, indicada para: Alergia a proteína do leite de vaca, a soja, a múltiplos alimentos e a hidrolisados 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protéicos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10.720,00</w:t>
            </w:r>
          </w:p>
        </w:tc>
      </w:tr>
      <w:tr w:rsidR="00304508" w:rsidTr="00304508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de partida para lactentes de 0 a 6 meses. 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Lc-PufasDHA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  ARA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nu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leotideios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fibras.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19.000,00</w:t>
            </w:r>
          </w:p>
        </w:tc>
      </w:tr>
      <w:tr w:rsidR="00304508" w:rsidTr="000662AD">
        <w:trPr>
          <w:trHeight w:val="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de 0 a 6 meses, com proteínas modificadas em sua relação proteína do soro do leite/caseína sem sacarose. Enriquecida com ferro e vitaminas.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9.360,00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à base de 100% proteína isolada de soja. Enriquecida com ferro, cálcio, vitaminas, L-metionina.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24.720,00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com proteínas modificadas em sua relação caseína/proteína do soro do leite sem sacarose. Enriquecida com ferro e vitaminas.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11.280,00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Prematuros e/ou Recém-Nascidos de baixo peso, com proteínas modificadas em sua relação caseína/proteína do soro do leite.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ARA, ferro e vitaminas.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120.000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0,306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36.720,00</w:t>
            </w:r>
          </w:p>
        </w:tc>
      </w:tr>
      <w:tr w:rsidR="00304508" w:rsidTr="00304508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a base de peptídeos 100% proteína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hidrosilada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terapia Nutricional precoce em pacientes de 1 a 10 anos de idade em desmane de nutrição parenteral, com retardo de esvaziamento gástrico e risco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broncoaspiração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Com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</w:t>
            </w:r>
            <w:r w:rsidR="00304508">
              <w:rPr>
                <w:rFonts w:ascii="Verdana" w:hAnsi="Verdana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11.900,00</w:t>
            </w:r>
          </w:p>
        </w:tc>
      </w:tr>
      <w:tr w:rsidR="00304508" w:rsidTr="00304508">
        <w:trPr>
          <w:trHeight w:val="6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Alimento/Fórmula em pó para uso enteral/oral,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Criada especialmente para atender às necessidades nutricionais na manutenção e recuperação do estado nutricional.  Sabor Baunilha. Isento de lactose e glúten.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8.325,00</w:t>
            </w:r>
          </w:p>
        </w:tc>
      </w:tr>
      <w:tr w:rsidR="00304508" w:rsidTr="00571AA2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4508" w:rsidRDefault="00304508">
            <w:pP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71AA2" w:rsidRDefault="00571AA2"/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4508" w:rsidRDefault="00304508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4508" w:rsidRDefault="00304508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4508" w:rsidRDefault="00304508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4508" w:rsidRDefault="00304508"/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04508" w:rsidRDefault="00304508"/>
        </w:tc>
      </w:tr>
      <w:tr w:rsidR="00304508" w:rsidTr="00304508">
        <w:trPr>
          <w:trHeight w:val="615"/>
        </w:trPr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4508" w:rsidRDefault="00304508" w:rsidP="000662AD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ITENS COM COTA DE </w:t>
            </w:r>
            <w:r w:rsidR="000662AD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90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% - DESTINADOS A AMPLA PARTICIPAÇÃO, INCLUSIVE MICRO EMPRESAS, EMPRESAS DE PEQUENO PORTE E MICRO EMPREENDEDORES INDIVIDUAIS</w:t>
            </w:r>
          </w:p>
        </w:tc>
      </w:tr>
      <w:tr w:rsidR="00304508" w:rsidTr="00304508">
        <w:trPr>
          <w:cantSplit/>
          <w:trHeight w:val="1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DESCRIÇÃO DO PRODUTO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APRESENTAÇÃO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QUANTIDADE (12 MESES)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UNITÁRIO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US"/>
              </w:rPr>
              <w:t>VALOR TOTAL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Alimentação de lactantes e crianças que apresentem alergia à proteína do leite de vaca e / ou soja, distúrbios absortivos ou outras condições clínicas que requerem uma terapia nutricional com dieta ou fórmula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semi-elementar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hipoalergênica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Isento de lactose, sacarose e glúten.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1.440.000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0,476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685.440,00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 com baixo teor de sódio sem sacarose, isento de glúten. Indicado para pacientes com risco nutricional, desnutrição, anorexia.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0,639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690.120,00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dieta enteral ou oral, isento de glúten. Indicado para pacientes com risco nutricional, desnutrição, </w:t>
            </w:r>
            <w:r w:rsidR="00FF01EF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anorexia.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0,143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154.440,00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enteral, com densidade calórica de 1,2 calorias por mililitro.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Com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3.600.000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0,042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151.200,00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 para nutrição enteral. Formulado com um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de proteínas animal e vegetal, isento de sacarose, lactose e glúten. Fonte de fibras, 60% de fibra alimentar solúvel, 40% fibra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alimetar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insolúvel. Com ou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0,134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144.720,00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dieta enteral, líquido,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completo, polimérico, hipercalórico (1,5kcal/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). Com no mínimo 30 % proteína do leite. Com fibras solúveis e insolúveis. Sem sacarose e glúten, com adição de vitaminas e minerais.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2.250</w:t>
            </w:r>
            <w:r w:rsidR="00304508">
              <w:rPr>
                <w:rFonts w:ascii="Verdana" w:hAnsi="Verdana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209.250,00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hiperproteico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Desenvolvido pensando nas necessidades do paciente idoso. Sem Sabor ideal para receitas doces e salgadas. Não contem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gluten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1.350.000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278.100,00</w:t>
            </w:r>
          </w:p>
        </w:tc>
      </w:tr>
      <w:tr w:rsidR="00304508" w:rsidTr="00304508">
        <w:trPr>
          <w:trHeight w:val="168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em pó, especializada para Doença Inflamatória Intestinal, principalmente Doença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Crohn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normoprotéica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Isento de lactose e glúten. Indicação via oral ou via sonda enteral. Sem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108.000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0,986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106.488,00</w:t>
            </w:r>
          </w:p>
        </w:tc>
      </w:tr>
      <w:tr w:rsidR="00304508" w:rsidTr="00304508">
        <w:trPr>
          <w:trHeight w:val="19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Alimento/Dieta enteral/oral liquida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normolipidica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 100% proteína de soja. Criada especialmente para atender às necessidades nutricionais na manutenção e recuperação do estado nutricional de pacientes. Isento de lactose e glúten. Com ou sem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4.500.000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148.500,00</w:t>
            </w:r>
          </w:p>
        </w:tc>
      </w:tr>
      <w:tr w:rsidR="00304508" w:rsidTr="00304508">
        <w:trPr>
          <w:trHeight w:val="15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Alimento/Nutrição em pó, especializada, enteral/oral,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atender pacientes com necessidade de controle glicêmico. Não contém glúten e lactose. Com sabor.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183.600,00</w:t>
            </w:r>
          </w:p>
        </w:tc>
      </w:tr>
      <w:tr w:rsidR="00304508" w:rsidTr="00304508">
        <w:trPr>
          <w:trHeight w:val="20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elementar à base de 100% de aminoácidos livres,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completa. Isenta de lactose e glúten, com teores de nutrientes atendendo aos valores mínimos e máximos do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Codex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Alimentarius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FAO/OMS para vitaminas e minerais, indicada para: Alergia a proteína do leite de vaca, a soja, a múltiplos alimentos e a hidrolisados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protéicos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0,536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96.480,00</w:t>
            </w:r>
          </w:p>
        </w:tc>
      </w:tr>
      <w:tr w:rsidR="00304508" w:rsidTr="00304508">
        <w:trPr>
          <w:trHeight w:val="7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de partida para lactentes de 0 a 6 meses. 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Lc-PufasDHA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  ARA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nu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leotideios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fibras.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1.800.000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171.000,00</w:t>
            </w:r>
          </w:p>
        </w:tc>
      </w:tr>
      <w:tr w:rsidR="00304508" w:rsidTr="00571AA2">
        <w:trPr>
          <w:trHeight w:val="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Fórmula Infantil para lactentes de 0 a 6 meses, com proteínas modificadas em sua relação proteína do soro do leite/caseína sem sacarose. Enriquecida com ferro e vitaminas.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84.240,00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à base de 100% proteína isolada de soja. Enriquecida com ferro, cálcio, vitaminas, L-metionina.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</w:t>
            </w:r>
            <w:r w:rsidR="00304508">
              <w:rPr>
                <w:rFonts w:ascii="Verdana" w:hAnsi="Verdan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0,206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222.480,00</w:t>
            </w:r>
          </w:p>
        </w:tc>
      </w:tr>
      <w:tr w:rsidR="00304508" w:rsidTr="00304508">
        <w:trPr>
          <w:trHeight w:val="10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lactentes de 6 a 12 meses, com proteínas modificadas em sua relação caseína/proteína do soro do leite sem sacarose. Enriquecida com ferro e vitaminas.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0,094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101.520,00</w:t>
            </w:r>
          </w:p>
        </w:tc>
      </w:tr>
      <w:tr w:rsidR="00304508" w:rsidTr="00304508">
        <w:trPr>
          <w:trHeight w:val="12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Fórmula Infantil para Prematuros e/ou Recém-Nascidos de baixo peso, com proteínas modificadas em sua relação caseína/proteína do soro do leite. Enriquecida com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LCPufasDHA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ARA, ferro e vitaminas.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1.080.000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0,306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330.480,00</w:t>
            </w:r>
          </w:p>
        </w:tc>
      </w:tr>
      <w:tr w:rsidR="00304508" w:rsidTr="00304508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 para suplementação de nutrição enteral ou oral, a base de peptídeos 100% proteína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hidrosilada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Indicado para terapia Nutricional precoce em pacientes de 1 a 10 anos de idade em desmane de nutrição parenteral, com retardo de esvaziamento gástrico e risco de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broncoaspiração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. Com sabor.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180.000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0,595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107.100,00</w:t>
            </w:r>
          </w:p>
        </w:tc>
      </w:tr>
      <w:tr w:rsidR="00304508" w:rsidTr="00304508">
        <w:trPr>
          <w:trHeight w:val="178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50010336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508" w:rsidRDefault="00304508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Alimento/Fórmula em pó para uso enteral/oral, polimérica,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nutricionalmente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completa e balanceada,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normocalórica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normoproteica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normolipídica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. Criada especialmente para atender às necessidades nutricionais na manutenção e recuperação do estado nutricional.  Sabor Baunilha. Isento de lactose e glúten.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405.000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304508">
            <w:pPr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0,185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508" w:rsidRDefault="000662AD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74.925,00</w:t>
            </w:r>
          </w:p>
        </w:tc>
      </w:tr>
    </w:tbl>
    <w:p w:rsidR="00932616" w:rsidRPr="00BC562D" w:rsidRDefault="00932616" w:rsidP="000F693C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C562D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</w:p>
    <w:p w:rsidR="000E4864" w:rsidRDefault="000E4864" w:rsidP="000F693C">
      <w:pPr>
        <w:spacing w:after="120" w:line="360" w:lineRule="auto"/>
        <w:jc w:val="both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>O Edital e seus anexos estão disponíveis, no site do Consórcio (</w:t>
      </w:r>
      <w:r w:rsidR="001109F3" w:rsidRPr="00BC562D">
        <w:rPr>
          <w:rFonts w:ascii="Verdana" w:hAnsi="Verdana" w:cs="Arial"/>
          <w:sz w:val="18"/>
          <w:szCs w:val="18"/>
        </w:rPr>
        <w:t>www.conims.com.br) no</w:t>
      </w:r>
      <w:r w:rsidRPr="00BC562D">
        <w:rPr>
          <w:rFonts w:ascii="Verdana" w:hAnsi="Verdana" w:cs="Arial"/>
          <w:sz w:val="18"/>
          <w:szCs w:val="18"/>
        </w:rPr>
        <w:t xml:space="preserve"> Portal de Compras </w:t>
      </w:r>
      <w:r w:rsidR="006F28F8" w:rsidRPr="00BC562D">
        <w:rPr>
          <w:rFonts w:ascii="Verdana" w:hAnsi="Verdana" w:cs="Arial"/>
          <w:sz w:val="18"/>
          <w:szCs w:val="18"/>
        </w:rPr>
        <w:t>do Governo Federal (</w:t>
      </w:r>
      <w:hyperlink r:id="rId8" w:history="1">
        <w:r w:rsidR="00B34590" w:rsidRPr="00EA71DB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="006F28F8" w:rsidRPr="00BC562D">
        <w:rPr>
          <w:rFonts w:ascii="Verdana" w:hAnsi="Verdana" w:cs="Arial"/>
          <w:sz w:val="18"/>
          <w:szCs w:val="18"/>
        </w:rPr>
        <w:t xml:space="preserve">), ou ainda junto a Comissão de Pregão, solicitando por e-mail: </w:t>
      </w:r>
      <w:hyperlink r:id="rId9" w:history="1">
        <w:r w:rsidR="002503B9" w:rsidRPr="00010A73">
          <w:rPr>
            <w:rStyle w:val="Hyperlink"/>
            <w:rFonts w:ascii="Verdana" w:hAnsi="Verdana" w:cs="Arial"/>
            <w:sz w:val="18"/>
            <w:szCs w:val="18"/>
          </w:rPr>
          <w:t>licitacao@conims.com.br</w:t>
        </w:r>
      </w:hyperlink>
      <w:r w:rsidR="006F28F8" w:rsidRPr="00BC562D">
        <w:rPr>
          <w:rFonts w:ascii="Verdana" w:hAnsi="Verdana" w:cs="Arial"/>
          <w:sz w:val="18"/>
          <w:szCs w:val="18"/>
        </w:rPr>
        <w:t>.</w:t>
      </w:r>
    </w:p>
    <w:p w:rsidR="002503B9" w:rsidRPr="00BC562D" w:rsidRDefault="002503B9" w:rsidP="002503B9">
      <w:pPr>
        <w:spacing w:after="120" w:line="36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Pato Branco, 11 de outubro de 2018.</w:t>
      </w:r>
      <w:bookmarkStart w:id="0" w:name="_GoBack"/>
      <w:bookmarkEnd w:id="0"/>
    </w:p>
    <w:p w:rsidR="006D485F" w:rsidRPr="00BC562D" w:rsidRDefault="006D485F" w:rsidP="00C83E95">
      <w:pPr>
        <w:jc w:val="center"/>
        <w:rPr>
          <w:rFonts w:ascii="Verdana" w:hAnsi="Verdana" w:cs="Arial"/>
          <w:sz w:val="18"/>
          <w:szCs w:val="18"/>
        </w:rPr>
      </w:pPr>
    </w:p>
    <w:p w:rsidR="00E9259B" w:rsidRPr="00BC562D" w:rsidRDefault="00E9259B" w:rsidP="00C83E95">
      <w:pPr>
        <w:jc w:val="center"/>
        <w:rPr>
          <w:rFonts w:ascii="Verdana" w:hAnsi="Verdana" w:cs="Arial"/>
          <w:sz w:val="18"/>
          <w:szCs w:val="18"/>
        </w:rPr>
      </w:pPr>
    </w:p>
    <w:p w:rsidR="006D485F" w:rsidRPr="00BC562D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BC562D">
        <w:rPr>
          <w:rFonts w:ascii="Verdana" w:hAnsi="Verdana" w:cs="Arial"/>
          <w:sz w:val="18"/>
          <w:szCs w:val="18"/>
        </w:rPr>
        <w:t>Gasparetto</w:t>
      </w:r>
      <w:proofErr w:type="spellEnd"/>
    </w:p>
    <w:p w:rsidR="006D485F" w:rsidRPr="00BC562D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BC562D">
        <w:rPr>
          <w:rFonts w:ascii="Verdana" w:hAnsi="Verdana"/>
          <w:sz w:val="18"/>
          <w:szCs w:val="18"/>
        </w:rPr>
        <w:t>Presidente</w:t>
      </w:r>
    </w:p>
    <w:p w:rsidR="0076518D" w:rsidRPr="00BC562D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BC562D" w:rsidSect="009F7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08" w:rsidRDefault="00304508" w:rsidP="009F7290">
      <w:r>
        <w:separator/>
      </w:r>
    </w:p>
  </w:endnote>
  <w:endnote w:type="continuationSeparator" w:id="0">
    <w:p w:rsidR="00304508" w:rsidRDefault="00304508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 w:rsidP="00441F55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304508" w:rsidRPr="00282A4A" w:rsidRDefault="00304508" w:rsidP="00441F55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304508" w:rsidRDefault="00304508" w:rsidP="00441F55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08" w:rsidRDefault="00304508" w:rsidP="009F7290">
      <w:r>
        <w:separator/>
      </w:r>
    </w:p>
  </w:footnote>
  <w:footnote w:type="continuationSeparator" w:id="0">
    <w:p w:rsidR="00304508" w:rsidRDefault="00304508" w:rsidP="009F7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  <w:r w:rsidRPr="001B794E">
      <w:rPr>
        <w:noProof/>
      </w:rPr>
      <w:drawing>
        <wp:inline distT="0" distB="0" distL="0" distR="0" wp14:anchorId="7BF02978" wp14:editId="4773D5C8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08" w:rsidRDefault="003045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662AD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39E3"/>
    <w:rsid w:val="00156466"/>
    <w:rsid w:val="00160D20"/>
    <w:rsid w:val="00217CC5"/>
    <w:rsid w:val="002503B9"/>
    <w:rsid w:val="00280403"/>
    <w:rsid w:val="002C46FB"/>
    <w:rsid w:val="00304508"/>
    <w:rsid w:val="00360C97"/>
    <w:rsid w:val="00367C4D"/>
    <w:rsid w:val="003A0FA2"/>
    <w:rsid w:val="003E2219"/>
    <w:rsid w:val="004236F7"/>
    <w:rsid w:val="00431C78"/>
    <w:rsid w:val="00435D75"/>
    <w:rsid w:val="00441F55"/>
    <w:rsid w:val="00447921"/>
    <w:rsid w:val="00463F74"/>
    <w:rsid w:val="00472EDE"/>
    <w:rsid w:val="004A269B"/>
    <w:rsid w:val="004F62AB"/>
    <w:rsid w:val="00571AA2"/>
    <w:rsid w:val="005A2457"/>
    <w:rsid w:val="005D1807"/>
    <w:rsid w:val="006974F6"/>
    <w:rsid w:val="006B06BB"/>
    <w:rsid w:val="006D485F"/>
    <w:rsid w:val="006E355B"/>
    <w:rsid w:val="006F28F8"/>
    <w:rsid w:val="007104E3"/>
    <w:rsid w:val="007421C1"/>
    <w:rsid w:val="00757474"/>
    <w:rsid w:val="00761A72"/>
    <w:rsid w:val="0076518D"/>
    <w:rsid w:val="007840BC"/>
    <w:rsid w:val="007B60E0"/>
    <w:rsid w:val="008158DD"/>
    <w:rsid w:val="008465DF"/>
    <w:rsid w:val="008A5D4D"/>
    <w:rsid w:val="008A6E5A"/>
    <w:rsid w:val="00906EEB"/>
    <w:rsid w:val="0090778E"/>
    <w:rsid w:val="00927F5D"/>
    <w:rsid w:val="00932616"/>
    <w:rsid w:val="00957D78"/>
    <w:rsid w:val="0097269F"/>
    <w:rsid w:val="0097635E"/>
    <w:rsid w:val="009F7290"/>
    <w:rsid w:val="00A47134"/>
    <w:rsid w:val="00A6193E"/>
    <w:rsid w:val="00A62D1D"/>
    <w:rsid w:val="00A94B7A"/>
    <w:rsid w:val="00AA01A7"/>
    <w:rsid w:val="00AE72B1"/>
    <w:rsid w:val="00AF355B"/>
    <w:rsid w:val="00B34590"/>
    <w:rsid w:val="00B45DA4"/>
    <w:rsid w:val="00BC4187"/>
    <w:rsid w:val="00BC562D"/>
    <w:rsid w:val="00C0607D"/>
    <w:rsid w:val="00C83E95"/>
    <w:rsid w:val="00CC4D23"/>
    <w:rsid w:val="00CF503B"/>
    <w:rsid w:val="00D03F3B"/>
    <w:rsid w:val="00D45761"/>
    <w:rsid w:val="00D71AE9"/>
    <w:rsid w:val="00D75409"/>
    <w:rsid w:val="00D862AF"/>
    <w:rsid w:val="00E10DE9"/>
    <w:rsid w:val="00E1308D"/>
    <w:rsid w:val="00E465EB"/>
    <w:rsid w:val="00E6199A"/>
    <w:rsid w:val="00E7353E"/>
    <w:rsid w:val="00E9259B"/>
    <w:rsid w:val="00EA39F8"/>
    <w:rsid w:val="00EF4A31"/>
    <w:rsid w:val="00EF6C9C"/>
    <w:rsid w:val="00F15AEF"/>
    <w:rsid w:val="00F25BE2"/>
    <w:rsid w:val="00F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conims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8EE8-9EDC-4183-BF35-60EA6B3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12</Pages>
  <Words>3380</Words>
  <Characters>18257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73</cp:revision>
  <cp:lastPrinted>2018-10-10T15:49:00Z</cp:lastPrinted>
  <dcterms:created xsi:type="dcterms:W3CDTF">2012-08-28T14:13:00Z</dcterms:created>
  <dcterms:modified xsi:type="dcterms:W3CDTF">2018-10-10T16:07:00Z</dcterms:modified>
</cp:coreProperties>
</file>